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94C9A5" w14:textId="77777777" w:rsidR="001C4C50" w:rsidRDefault="00B956DE" w:rsidP="001C4C50">
      <w:pPr>
        <w:pStyle w:val="BodyText"/>
        <w:rPr>
          <w:b/>
          <w:color w:val="343434"/>
        </w:rPr>
      </w:pPr>
      <w:r>
        <w:rPr>
          <w:rFonts w:ascii="Times New Roman"/>
          <w:noProof/>
          <w:sz w:val="20"/>
        </w:rPr>
        <w:drawing>
          <wp:anchor distT="0" distB="0" distL="114300" distR="114300" simplePos="0" relativeHeight="251660288" behindDoc="1" locked="0" layoutInCell="1" allowOverlap="1" wp14:anchorId="2106B76A" wp14:editId="459D06E2">
            <wp:simplePos x="0" y="0"/>
            <wp:positionH relativeFrom="page">
              <wp:posOffset>5695950</wp:posOffset>
            </wp:positionH>
            <wp:positionV relativeFrom="paragraph">
              <wp:posOffset>-739775</wp:posOffset>
            </wp:positionV>
            <wp:extent cx="1771650" cy="1067431"/>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a:extLst>
                        <a:ext uri="{28A0092B-C50C-407E-A947-70E740481C1C}">
                          <a14:useLocalDpi xmlns:a14="http://schemas.microsoft.com/office/drawing/2010/main" val="0"/>
                        </a:ext>
                      </a:extLst>
                    </a:blip>
                    <a:stretch>
                      <a:fillRect/>
                    </a:stretch>
                  </pic:blipFill>
                  <pic:spPr>
                    <a:xfrm>
                      <a:off x="0" y="0"/>
                      <a:ext cx="1775074" cy="1069494"/>
                    </a:xfrm>
                    <a:prstGeom prst="rect">
                      <a:avLst/>
                    </a:prstGeom>
                  </pic:spPr>
                </pic:pic>
              </a:graphicData>
            </a:graphic>
            <wp14:sizeRelH relativeFrom="margin">
              <wp14:pctWidth>0</wp14:pctWidth>
            </wp14:sizeRelH>
            <wp14:sizeRelV relativeFrom="margin">
              <wp14:pctHeight>0</wp14:pctHeight>
            </wp14:sizeRelV>
          </wp:anchor>
        </w:drawing>
      </w:r>
      <w:r w:rsidR="000D012F">
        <w:rPr>
          <w:b/>
          <w:color w:val="343434"/>
        </w:rPr>
        <w:t>Cadder Housing Association</w:t>
      </w:r>
      <w:r w:rsidR="004E1AD1">
        <w:rPr>
          <w:b/>
          <w:color w:val="343434"/>
        </w:rPr>
        <w:t xml:space="preserve"> Limited</w:t>
      </w:r>
    </w:p>
    <w:p w14:paraId="09741F12" w14:textId="73A491E0" w:rsidR="00BB29C4" w:rsidRDefault="004E1AD1" w:rsidP="001C4C50">
      <w:pPr>
        <w:pStyle w:val="BodyText"/>
        <w:rPr>
          <w:b/>
          <w:color w:val="343434"/>
        </w:rPr>
      </w:pPr>
      <w:r>
        <w:rPr>
          <w:b/>
          <w:color w:val="343434"/>
        </w:rPr>
        <w:t>Annual Assurance Statement – 2</w:t>
      </w:r>
      <w:r w:rsidR="00952A9A">
        <w:rPr>
          <w:b/>
          <w:color w:val="343434"/>
        </w:rPr>
        <w:t>7</w:t>
      </w:r>
      <w:r w:rsidRPr="004E1AD1">
        <w:rPr>
          <w:b/>
          <w:color w:val="343434"/>
          <w:vertAlign w:val="superscript"/>
        </w:rPr>
        <w:t>th</w:t>
      </w:r>
      <w:r>
        <w:rPr>
          <w:b/>
          <w:color w:val="343434"/>
        </w:rPr>
        <w:t xml:space="preserve"> October 202</w:t>
      </w:r>
      <w:r w:rsidR="000D3802">
        <w:rPr>
          <w:b/>
          <w:color w:val="343434"/>
        </w:rPr>
        <w:t>2</w:t>
      </w:r>
    </w:p>
    <w:p w14:paraId="20D0E030" w14:textId="77777777" w:rsidR="001C4C50" w:rsidRPr="001C4C50" w:rsidRDefault="001C4C50" w:rsidP="001C4C50">
      <w:pPr>
        <w:pStyle w:val="BodyText"/>
        <w:rPr>
          <w:rFonts w:ascii="Times New Roman"/>
          <w:sz w:val="20"/>
        </w:rPr>
      </w:pPr>
    </w:p>
    <w:p w14:paraId="46D8BE25" w14:textId="56AFCC1C" w:rsidR="00BB29C4" w:rsidRPr="006E677A" w:rsidRDefault="00CC4A43" w:rsidP="00DE7483">
      <w:pPr>
        <w:tabs>
          <w:tab w:val="left" w:pos="805"/>
          <w:tab w:val="left" w:pos="806"/>
        </w:tabs>
        <w:spacing w:after="120" w:line="264" w:lineRule="auto"/>
        <w:rPr>
          <w:color w:val="343434"/>
        </w:rPr>
      </w:pPr>
      <w:r w:rsidRPr="006E677A">
        <w:rPr>
          <w:color w:val="343434"/>
        </w:rPr>
        <w:t>We</w:t>
      </w:r>
      <w:r w:rsidR="008605B0" w:rsidRPr="006E677A">
        <w:rPr>
          <w:color w:val="343434"/>
        </w:rPr>
        <w:t xml:space="preserve">, the Board of Cadder Housing </w:t>
      </w:r>
      <w:r w:rsidR="0045623A" w:rsidRPr="006E677A">
        <w:rPr>
          <w:color w:val="343434"/>
        </w:rPr>
        <w:t>Association are</w:t>
      </w:r>
      <w:r w:rsidRPr="006E677A">
        <w:rPr>
          <w:color w:val="343434"/>
        </w:rPr>
        <w:t xml:space="preserve"> pleased</w:t>
      </w:r>
      <w:r w:rsidR="008605B0" w:rsidRPr="006E677A">
        <w:rPr>
          <w:color w:val="343434"/>
        </w:rPr>
        <w:t xml:space="preserve"> to confirm that following a </w:t>
      </w:r>
      <w:r w:rsidR="00B956DE" w:rsidRPr="006E677A">
        <w:rPr>
          <w:color w:val="343434"/>
        </w:rPr>
        <w:t xml:space="preserve">detailed and comprehensive review process, </w:t>
      </w:r>
      <w:r w:rsidR="008605B0" w:rsidRPr="006E677A">
        <w:rPr>
          <w:color w:val="343434"/>
        </w:rPr>
        <w:t xml:space="preserve">we are </w:t>
      </w:r>
      <w:r w:rsidR="0045623A" w:rsidRPr="006E677A">
        <w:rPr>
          <w:color w:val="343434"/>
        </w:rPr>
        <w:t>satisfied that</w:t>
      </w:r>
      <w:r w:rsidR="008605B0" w:rsidRPr="006E677A">
        <w:rPr>
          <w:color w:val="343434"/>
        </w:rPr>
        <w:t xml:space="preserve"> Cadder Housing Association is </w:t>
      </w:r>
      <w:r w:rsidR="00B956DE" w:rsidRPr="006941AB">
        <w:rPr>
          <w:color w:val="343434"/>
        </w:rPr>
        <w:t>co</w:t>
      </w:r>
      <w:r w:rsidR="008605B0" w:rsidRPr="006941AB">
        <w:rPr>
          <w:color w:val="343434"/>
        </w:rPr>
        <w:t xml:space="preserve">mpliant </w:t>
      </w:r>
      <w:r w:rsidR="00B956DE" w:rsidRPr="006E677A">
        <w:rPr>
          <w:color w:val="343434"/>
        </w:rPr>
        <w:t>with:</w:t>
      </w:r>
    </w:p>
    <w:p w14:paraId="1245DA2F" w14:textId="6BA2AB20" w:rsidR="00BB29C4" w:rsidRDefault="005116C9" w:rsidP="00DE7483">
      <w:pPr>
        <w:pStyle w:val="ListParagraph"/>
        <w:numPr>
          <w:ilvl w:val="0"/>
          <w:numId w:val="1"/>
        </w:numPr>
        <w:tabs>
          <w:tab w:val="left" w:pos="805"/>
          <w:tab w:val="left" w:pos="806"/>
        </w:tabs>
        <w:spacing w:after="120" w:line="264" w:lineRule="auto"/>
        <w:ind w:right="745" w:hanging="335"/>
        <w:rPr>
          <w:color w:val="262626"/>
        </w:rPr>
      </w:pPr>
      <w:r>
        <w:rPr>
          <w:color w:val="343434"/>
        </w:rPr>
        <w:t xml:space="preserve">The </w:t>
      </w:r>
      <w:r w:rsidR="00CC4A43">
        <w:rPr>
          <w:color w:val="343434"/>
        </w:rPr>
        <w:t>regulatory requirements set out in section 3 of the Regulatory Framework.</w:t>
      </w:r>
    </w:p>
    <w:p w14:paraId="72E42504" w14:textId="62939F78" w:rsidR="00BB29C4" w:rsidRDefault="00B956DE" w:rsidP="00DE7483">
      <w:pPr>
        <w:pStyle w:val="ListParagraph"/>
        <w:numPr>
          <w:ilvl w:val="0"/>
          <w:numId w:val="1"/>
        </w:numPr>
        <w:tabs>
          <w:tab w:val="left" w:pos="804"/>
          <w:tab w:val="left" w:pos="805"/>
        </w:tabs>
        <w:spacing w:after="120" w:line="264" w:lineRule="auto"/>
        <w:ind w:left="804" w:right="745" w:hanging="343"/>
        <w:rPr>
          <w:color w:val="383838"/>
        </w:rPr>
      </w:pPr>
      <w:r>
        <w:rPr>
          <w:color w:val="2D2D2D"/>
        </w:rPr>
        <w:t xml:space="preserve">The </w:t>
      </w:r>
      <w:r>
        <w:rPr>
          <w:color w:val="282828"/>
        </w:rPr>
        <w:t xml:space="preserve">Regulatory </w:t>
      </w:r>
      <w:r>
        <w:rPr>
          <w:color w:val="313131"/>
        </w:rPr>
        <w:t xml:space="preserve">Standards of </w:t>
      </w:r>
      <w:r>
        <w:rPr>
          <w:color w:val="2D2D2D"/>
        </w:rPr>
        <w:t xml:space="preserve">Governance </w:t>
      </w:r>
      <w:r>
        <w:rPr>
          <w:color w:val="313131"/>
        </w:rPr>
        <w:t xml:space="preserve">and </w:t>
      </w:r>
      <w:r>
        <w:rPr>
          <w:color w:val="2B2B2B"/>
        </w:rPr>
        <w:t>Financial</w:t>
      </w:r>
      <w:r>
        <w:rPr>
          <w:color w:val="2B2B2B"/>
          <w:spacing w:val="28"/>
        </w:rPr>
        <w:t xml:space="preserve"> </w:t>
      </w:r>
      <w:r>
        <w:rPr>
          <w:color w:val="2A2A2A"/>
        </w:rPr>
        <w:t>Management</w:t>
      </w:r>
      <w:r w:rsidR="00DE7483">
        <w:rPr>
          <w:color w:val="2A2A2A"/>
        </w:rPr>
        <w:t>.</w:t>
      </w:r>
    </w:p>
    <w:p w14:paraId="343E7532" w14:textId="0C9C4E1E" w:rsidR="00BB29C4" w:rsidRDefault="00B956DE" w:rsidP="00DE7483">
      <w:pPr>
        <w:pStyle w:val="ListParagraph"/>
        <w:numPr>
          <w:ilvl w:val="0"/>
          <w:numId w:val="1"/>
        </w:numPr>
        <w:tabs>
          <w:tab w:val="left" w:pos="804"/>
          <w:tab w:val="left" w:pos="805"/>
        </w:tabs>
        <w:spacing w:after="120" w:line="264" w:lineRule="auto"/>
        <w:ind w:left="804" w:right="745" w:hanging="338"/>
        <w:rPr>
          <w:color w:val="343434"/>
        </w:rPr>
      </w:pPr>
      <w:r>
        <w:rPr>
          <w:color w:val="262626"/>
        </w:rPr>
        <w:t xml:space="preserve">The </w:t>
      </w:r>
      <w:r>
        <w:rPr>
          <w:color w:val="282828"/>
        </w:rPr>
        <w:t xml:space="preserve">relevant </w:t>
      </w:r>
      <w:r>
        <w:rPr>
          <w:color w:val="1F1F1F"/>
        </w:rPr>
        <w:t xml:space="preserve">standards </w:t>
      </w:r>
      <w:r>
        <w:rPr>
          <w:color w:val="363636"/>
        </w:rPr>
        <w:t xml:space="preserve">and </w:t>
      </w:r>
      <w:r>
        <w:rPr>
          <w:color w:val="2A2A2A"/>
        </w:rPr>
        <w:t xml:space="preserve">outcomes </w:t>
      </w:r>
      <w:r>
        <w:rPr>
          <w:color w:val="343434"/>
        </w:rPr>
        <w:t xml:space="preserve">in </w:t>
      </w:r>
      <w:r>
        <w:rPr>
          <w:color w:val="313131"/>
        </w:rPr>
        <w:t xml:space="preserve">the </w:t>
      </w:r>
      <w:r>
        <w:rPr>
          <w:color w:val="2D2D2D"/>
        </w:rPr>
        <w:t xml:space="preserve">Scottish </w:t>
      </w:r>
      <w:r>
        <w:rPr>
          <w:color w:val="282828"/>
        </w:rPr>
        <w:t xml:space="preserve">Social </w:t>
      </w:r>
      <w:r>
        <w:rPr>
          <w:color w:val="161616"/>
        </w:rPr>
        <w:t>Housing</w:t>
      </w:r>
      <w:r w:rsidR="00FA42F5">
        <w:rPr>
          <w:color w:val="161616"/>
          <w:spacing w:val="55"/>
        </w:rPr>
        <w:t xml:space="preserve"> </w:t>
      </w:r>
      <w:r>
        <w:rPr>
          <w:color w:val="2F2F2F"/>
        </w:rPr>
        <w:t>Charter</w:t>
      </w:r>
      <w:r w:rsidR="00DE7483">
        <w:rPr>
          <w:color w:val="2F2F2F"/>
        </w:rPr>
        <w:t>.</w:t>
      </w:r>
    </w:p>
    <w:p w14:paraId="48266876" w14:textId="72E8B96E" w:rsidR="002F13D7" w:rsidRPr="00BF1207" w:rsidRDefault="00B956DE" w:rsidP="00DE7483">
      <w:pPr>
        <w:pStyle w:val="ListParagraph"/>
        <w:numPr>
          <w:ilvl w:val="0"/>
          <w:numId w:val="1"/>
        </w:numPr>
        <w:tabs>
          <w:tab w:val="left" w:pos="805"/>
          <w:tab w:val="left" w:pos="806"/>
        </w:tabs>
        <w:spacing w:line="264" w:lineRule="auto"/>
        <w:ind w:left="805" w:right="745" w:hanging="344"/>
        <w:rPr>
          <w:color w:val="343434"/>
        </w:rPr>
      </w:pPr>
      <w:r>
        <w:rPr>
          <w:color w:val="3A3A3A"/>
        </w:rPr>
        <w:t xml:space="preserve">All </w:t>
      </w:r>
      <w:r>
        <w:rPr>
          <w:color w:val="2A2A2A"/>
        </w:rPr>
        <w:t xml:space="preserve">relevant </w:t>
      </w:r>
      <w:r>
        <w:rPr>
          <w:color w:val="2F2F2F"/>
        </w:rPr>
        <w:t xml:space="preserve">statutory </w:t>
      </w:r>
      <w:r>
        <w:rPr>
          <w:color w:val="2B2B2B"/>
        </w:rPr>
        <w:t xml:space="preserve">obligations </w:t>
      </w:r>
      <w:r>
        <w:rPr>
          <w:color w:val="3B3B3B"/>
        </w:rPr>
        <w:t>and</w:t>
      </w:r>
      <w:r>
        <w:rPr>
          <w:color w:val="3B3B3B"/>
          <w:spacing w:val="6"/>
        </w:rPr>
        <w:t xml:space="preserve"> </w:t>
      </w:r>
      <w:r>
        <w:rPr>
          <w:color w:val="2F2F2F"/>
        </w:rPr>
        <w:t>duties.</w:t>
      </w:r>
    </w:p>
    <w:p w14:paraId="387D7139" w14:textId="77777777" w:rsidR="00D4245B" w:rsidRDefault="00D4245B" w:rsidP="00D4245B">
      <w:pPr>
        <w:tabs>
          <w:tab w:val="left" w:pos="805"/>
          <w:tab w:val="left" w:pos="806"/>
        </w:tabs>
        <w:spacing w:line="264" w:lineRule="auto"/>
        <w:ind w:right="745"/>
        <w:rPr>
          <w:color w:val="343434"/>
        </w:rPr>
      </w:pPr>
    </w:p>
    <w:p w14:paraId="4D575DAE" w14:textId="3F974653" w:rsidR="0059109E" w:rsidRDefault="00D4245B" w:rsidP="00D4245B">
      <w:pPr>
        <w:tabs>
          <w:tab w:val="left" w:pos="805"/>
          <w:tab w:val="left" w:pos="806"/>
        </w:tabs>
        <w:spacing w:line="264" w:lineRule="auto"/>
        <w:ind w:right="745"/>
        <w:rPr>
          <w:color w:val="343434"/>
        </w:rPr>
      </w:pPr>
      <w:r>
        <w:rPr>
          <w:color w:val="343434"/>
        </w:rPr>
        <w:t>With the following exception:</w:t>
      </w:r>
    </w:p>
    <w:p w14:paraId="6EB1ADEC" w14:textId="14610926" w:rsidR="00D4245B" w:rsidRDefault="007A656D" w:rsidP="00422CA8">
      <w:pPr>
        <w:tabs>
          <w:tab w:val="left" w:pos="805"/>
          <w:tab w:val="left" w:pos="806"/>
        </w:tabs>
        <w:spacing w:line="264" w:lineRule="auto"/>
        <w:ind w:right="745"/>
        <w:rPr>
          <w:color w:val="343434"/>
        </w:rPr>
      </w:pPr>
      <w:r w:rsidRPr="00422CA8">
        <w:rPr>
          <w:color w:val="343434"/>
        </w:rPr>
        <w:t xml:space="preserve">We have identified weaknesses in our standards of </w:t>
      </w:r>
      <w:r w:rsidR="00422CA8">
        <w:rPr>
          <w:color w:val="343434"/>
        </w:rPr>
        <w:t>G</w:t>
      </w:r>
      <w:r w:rsidRPr="00422CA8">
        <w:rPr>
          <w:color w:val="343434"/>
        </w:rPr>
        <w:t>overnance</w:t>
      </w:r>
      <w:r w:rsidR="00422CA8" w:rsidRPr="00422CA8">
        <w:rPr>
          <w:color w:val="343434"/>
        </w:rPr>
        <w:t xml:space="preserve"> and are working</w:t>
      </w:r>
      <w:r w:rsidR="00422CA8">
        <w:rPr>
          <w:color w:val="343434"/>
        </w:rPr>
        <w:t xml:space="preserve"> </w:t>
      </w:r>
      <w:r w:rsidR="00422CA8" w:rsidRPr="00422CA8">
        <w:rPr>
          <w:color w:val="343434"/>
        </w:rPr>
        <w:t>towards compliance in relation to:</w:t>
      </w:r>
    </w:p>
    <w:p w14:paraId="66199C25" w14:textId="196A0FA6" w:rsidR="00422CA8" w:rsidRDefault="00422CA8" w:rsidP="00422CA8">
      <w:pPr>
        <w:pStyle w:val="ListParagraph"/>
        <w:numPr>
          <w:ilvl w:val="0"/>
          <w:numId w:val="5"/>
        </w:numPr>
        <w:tabs>
          <w:tab w:val="left" w:pos="805"/>
          <w:tab w:val="left" w:pos="806"/>
        </w:tabs>
        <w:spacing w:line="264" w:lineRule="auto"/>
        <w:ind w:right="745"/>
        <w:rPr>
          <w:color w:val="343434"/>
        </w:rPr>
      </w:pPr>
      <w:r>
        <w:rPr>
          <w:color w:val="343434"/>
        </w:rPr>
        <w:t>Regulatory Standard 6- The governing body and senior officers have the skills and knowledge they need to be effective.</w:t>
      </w:r>
    </w:p>
    <w:p w14:paraId="28365509" w14:textId="77777777" w:rsidR="004D14CB" w:rsidRDefault="004D14CB" w:rsidP="00422CA8">
      <w:pPr>
        <w:tabs>
          <w:tab w:val="left" w:pos="805"/>
          <w:tab w:val="left" w:pos="806"/>
        </w:tabs>
        <w:spacing w:line="264" w:lineRule="auto"/>
        <w:ind w:right="745"/>
        <w:rPr>
          <w:color w:val="343434"/>
        </w:rPr>
      </w:pPr>
    </w:p>
    <w:p w14:paraId="04824EB0" w14:textId="317BE57C" w:rsidR="002F13D7" w:rsidRDefault="00422CA8" w:rsidP="00422CA8">
      <w:pPr>
        <w:tabs>
          <w:tab w:val="left" w:pos="805"/>
          <w:tab w:val="left" w:pos="806"/>
        </w:tabs>
        <w:spacing w:line="264" w:lineRule="auto"/>
        <w:ind w:right="745"/>
        <w:rPr>
          <w:color w:val="343434"/>
        </w:rPr>
      </w:pPr>
      <w:r>
        <w:rPr>
          <w:color w:val="343434"/>
        </w:rPr>
        <w:t>An Action Plan is being implemented to address these matters and</w:t>
      </w:r>
      <w:r w:rsidR="006941AB">
        <w:rPr>
          <w:color w:val="343434"/>
        </w:rPr>
        <w:t xml:space="preserve"> we will continue to engage with the Scottish Housing Regulator on these issues.</w:t>
      </w:r>
    </w:p>
    <w:p w14:paraId="791F8343" w14:textId="48FB8A8A" w:rsidR="0059109E" w:rsidRDefault="0059109E" w:rsidP="00422CA8">
      <w:pPr>
        <w:tabs>
          <w:tab w:val="left" w:pos="805"/>
          <w:tab w:val="left" w:pos="806"/>
        </w:tabs>
        <w:spacing w:line="264" w:lineRule="auto"/>
        <w:ind w:right="745"/>
        <w:rPr>
          <w:color w:val="343434"/>
        </w:rPr>
      </w:pPr>
    </w:p>
    <w:p w14:paraId="74FEAADE" w14:textId="48B412CF" w:rsidR="0059109E" w:rsidRDefault="0059109E" w:rsidP="00422CA8">
      <w:pPr>
        <w:tabs>
          <w:tab w:val="left" w:pos="805"/>
          <w:tab w:val="left" w:pos="806"/>
        </w:tabs>
        <w:spacing w:line="264" w:lineRule="auto"/>
        <w:ind w:right="745"/>
        <w:rPr>
          <w:color w:val="343434"/>
        </w:rPr>
      </w:pPr>
      <w:r>
        <w:rPr>
          <w:color w:val="343434"/>
        </w:rPr>
        <w:t xml:space="preserve">The Association has a </w:t>
      </w:r>
      <w:r w:rsidR="00C9537E">
        <w:rPr>
          <w:color w:val="343434"/>
        </w:rPr>
        <w:t>five-year</w:t>
      </w:r>
      <w:r>
        <w:rPr>
          <w:color w:val="343434"/>
        </w:rPr>
        <w:t xml:space="preserve"> cyclical programme for electrical testing to ensure we have </w:t>
      </w:r>
      <w:r w:rsidR="00C9537E">
        <w:rPr>
          <w:color w:val="343434"/>
        </w:rPr>
        <w:t xml:space="preserve">up to date </w:t>
      </w:r>
      <w:r>
        <w:rPr>
          <w:color w:val="343434"/>
        </w:rPr>
        <w:t>EICRs for all our properties.</w:t>
      </w:r>
    </w:p>
    <w:p w14:paraId="124613E7" w14:textId="77777777" w:rsidR="00422CA8" w:rsidRPr="00422CA8" w:rsidRDefault="00422CA8" w:rsidP="00422CA8">
      <w:pPr>
        <w:tabs>
          <w:tab w:val="left" w:pos="805"/>
          <w:tab w:val="left" w:pos="806"/>
        </w:tabs>
        <w:spacing w:line="264" w:lineRule="auto"/>
        <w:ind w:right="745"/>
        <w:rPr>
          <w:color w:val="343434"/>
        </w:rPr>
      </w:pPr>
    </w:p>
    <w:p w14:paraId="1AE3C8AA" w14:textId="3FAE8F64" w:rsidR="002F13D7" w:rsidRDefault="002F13D7" w:rsidP="00DE7483">
      <w:pPr>
        <w:tabs>
          <w:tab w:val="left" w:pos="805"/>
          <w:tab w:val="left" w:pos="806"/>
        </w:tabs>
        <w:spacing w:after="120" w:line="264" w:lineRule="auto"/>
        <w:rPr>
          <w:color w:val="343434"/>
        </w:rPr>
      </w:pPr>
      <w:r w:rsidRPr="002F13D7">
        <w:rPr>
          <w:color w:val="343434"/>
        </w:rPr>
        <w:t>With specific reference to the Scottish Housing Regulator’s letter dated 2</w:t>
      </w:r>
      <w:r w:rsidR="000D3802">
        <w:rPr>
          <w:color w:val="343434"/>
        </w:rPr>
        <w:t>9</w:t>
      </w:r>
      <w:r w:rsidRPr="002F13D7">
        <w:rPr>
          <w:color w:val="343434"/>
        </w:rPr>
        <w:t xml:space="preserve"> Ju</w:t>
      </w:r>
      <w:r w:rsidR="000D3802">
        <w:rPr>
          <w:color w:val="343434"/>
        </w:rPr>
        <w:t>ly</w:t>
      </w:r>
      <w:r w:rsidRPr="002F13D7">
        <w:rPr>
          <w:color w:val="343434"/>
        </w:rPr>
        <w:t xml:space="preserve"> 202</w:t>
      </w:r>
      <w:r w:rsidR="000D3802">
        <w:rPr>
          <w:color w:val="343434"/>
        </w:rPr>
        <w:t>2</w:t>
      </w:r>
      <w:r w:rsidRPr="002F13D7">
        <w:rPr>
          <w:color w:val="343434"/>
        </w:rPr>
        <w:t xml:space="preserve"> headed</w:t>
      </w:r>
      <w:r>
        <w:rPr>
          <w:color w:val="343434"/>
        </w:rPr>
        <w:t xml:space="preserve"> ‘’Annual Assurance Statement’’, we can advise that:</w:t>
      </w:r>
    </w:p>
    <w:p w14:paraId="2928D60E" w14:textId="46E7EB15" w:rsidR="002F13D7" w:rsidRDefault="0045623A" w:rsidP="00DE7483">
      <w:pPr>
        <w:pStyle w:val="ListParagraph"/>
        <w:numPr>
          <w:ilvl w:val="0"/>
          <w:numId w:val="1"/>
        </w:numPr>
        <w:tabs>
          <w:tab w:val="left" w:pos="805"/>
          <w:tab w:val="left" w:pos="806"/>
        </w:tabs>
        <w:spacing w:after="120" w:line="264" w:lineRule="auto"/>
        <w:ind w:right="745" w:hanging="335"/>
        <w:rPr>
          <w:color w:val="343434"/>
        </w:rPr>
      </w:pPr>
      <w:r>
        <w:rPr>
          <w:color w:val="343434"/>
        </w:rPr>
        <w:t xml:space="preserve"> there</w:t>
      </w:r>
      <w:r w:rsidR="00596CDC">
        <w:rPr>
          <w:color w:val="343434"/>
        </w:rPr>
        <w:t xml:space="preserve"> are no issues of non-compliance that are directly due to the COVID-19 pandemic; and</w:t>
      </w:r>
    </w:p>
    <w:p w14:paraId="5D145E90" w14:textId="4703B979" w:rsidR="00724AB2" w:rsidRPr="00C9537E" w:rsidRDefault="00724AB2" w:rsidP="00724AB2">
      <w:pPr>
        <w:pStyle w:val="ListParagraph"/>
        <w:numPr>
          <w:ilvl w:val="0"/>
          <w:numId w:val="1"/>
        </w:numPr>
        <w:rPr>
          <w:rFonts w:eastAsiaTheme="minorHAnsi"/>
          <w:lang w:bidi="ar-SA"/>
        </w:rPr>
      </w:pPr>
      <w:r w:rsidRPr="00C9537E">
        <w:t xml:space="preserve">We have reviewed the updated guidance on equalities data collection (published on 19 August 2021 and last updated on 27 June 2022) and are currently working with our Data Protection Officer (DPO) to devise our approach to equalities data collection </w:t>
      </w:r>
      <w:r w:rsidR="00C9537E" w:rsidRPr="00C9537E">
        <w:t xml:space="preserve">and </w:t>
      </w:r>
      <w:r w:rsidR="000834B5">
        <w:t xml:space="preserve">are </w:t>
      </w:r>
      <w:r w:rsidR="00C9537E" w:rsidRPr="00C9537E">
        <w:t>considering</w:t>
      </w:r>
      <w:r w:rsidRPr="00C9537E">
        <w:t xml:space="preserve"> how we can adopt a human rights approach to our work. </w:t>
      </w:r>
    </w:p>
    <w:p w14:paraId="13D0D642" w14:textId="77777777" w:rsidR="004D14CB" w:rsidRPr="00C9537E" w:rsidRDefault="004D14CB" w:rsidP="00DE7483">
      <w:pPr>
        <w:pStyle w:val="BodyText"/>
        <w:spacing w:line="264" w:lineRule="auto"/>
        <w:ind w:left="134" w:hanging="2"/>
        <w:rPr>
          <w:color w:val="262626"/>
        </w:rPr>
      </w:pPr>
    </w:p>
    <w:p w14:paraId="369F037E" w14:textId="7FA3D6B8" w:rsidR="00BB29C4" w:rsidRPr="00A51ED8" w:rsidRDefault="00B956DE" w:rsidP="00A51ED8">
      <w:pPr>
        <w:pStyle w:val="BodyText"/>
        <w:spacing w:line="264" w:lineRule="auto"/>
        <w:ind w:left="134" w:hanging="2"/>
        <w:rPr>
          <w:color w:val="242424"/>
        </w:rPr>
      </w:pPr>
      <w:r>
        <w:rPr>
          <w:color w:val="262626"/>
        </w:rPr>
        <w:t xml:space="preserve">The </w:t>
      </w:r>
      <w:r>
        <w:rPr>
          <w:color w:val="2A2A2A"/>
        </w:rPr>
        <w:t xml:space="preserve">evidence </w:t>
      </w:r>
      <w:r>
        <w:rPr>
          <w:color w:val="282828"/>
        </w:rPr>
        <w:t xml:space="preserve">bank </w:t>
      </w:r>
      <w:r w:rsidR="004D14CB">
        <w:rPr>
          <w:color w:val="282828"/>
        </w:rPr>
        <w:t xml:space="preserve">considered by the Board </w:t>
      </w:r>
      <w:r>
        <w:rPr>
          <w:color w:val="2A2A2A"/>
        </w:rPr>
        <w:t xml:space="preserve">combines reports, </w:t>
      </w:r>
      <w:r>
        <w:rPr>
          <w:color w:val="212121"/>
        </w:rPr>
        <w:t xml:space="preserve">policies, </w:t>
      </w:r>
      <w:r>
        <w:rPr>
          <w:color w:val="282828"/>
        </w:rPr>
        <w:t xml:space="preserve">advice </w:t>
      </w:r>
      <w:r>
        <w:rPr>
          <w:color w:val="313131"/>
        </w:rPr>
        <w:t xml:space="preserve">and </w:t>
      </w:r>
      <w:r>
        <w:rPr>
          <w:color w:val="2A2A2A"/>
        </w:rPr>
        <w:t xml:space="preserve">information </w:t>
      </w:r>
      <w:r>
        <w:rPr>
          <w:color w:val="313131"/>
        </w:rPr>
        <w:t xml:space="preserve">which </w:t>
      </w:r>
      <w:r>
        <w:rPr>
          <w:color w:val="2D2D2D"/>
        </w:rPr>
        <w:t xml:space="preserve">the </w:t>
      </w:r>
      <w:r w:rsidR="00D2220A">
        <w:rPr>
          <w:color w:val="262626"/>
        </w:rPr>
        <w:t xml:space="preserve">Board </w:t>
      </w:r>
      <w:r>
        <w:rPr>
          <w:color w:val="2D2D2D"/>
        </w:rPr>
        <w:t xml:space="preserve">monitors </w:t>
      </w:r>
      <w:r>
        <w:rPr>
          <w:color w:val="2F2F2F"/>
        </w:rPr>
        <w:t xml:space="preserve">and oversees </w:t>
      </w:r>
      <w:r>
        <w:rPr>
          <w:color w:val="333333"/>
        </w:rPr>
        <w:t xml:space="preserve">on </w:t>
      </w:r>
      <w:r>
        <w:rPr>
          <w:color w:val="383838"/>
        </w:rPr>
        <w:t xml:space="preserve">an </w:t>
      </w:r>
      <w:r>
        <w:rPr>
          <w:color w:val="2B2B2B"/>
        </w:rPr>
        <w:t xml:space="preserve">ongoing </w:t>
      </w:r>
      <w:r>
        <w:rPr>
          <w:color w:val="262626"/>
        </w:rPr>
        <w:t xml:space="preserve">basis </w:t>
      </w:r>
      <w:r>
        <w:rPr>
          <w:color w:val="2D2D2D"/>
        </w:rPr>
        <w:t xml:space="preserve">throughout </w:t>
      </w:r>
      <w:r>
        <w:rPr>
          <w:color w:val="313131"/>
        </w:rPr>
        <w:t xml:space="preserve">the </w:t>
      </w:r>
      <w:r>
        <w:rPr>
          <w:color w:val="2A2A2A"/>
        </w:rPr>
        <w:t xml:space="preserve">year </w:t>
      </w:r>
      <w:r>
        <w:rPr>
          <w:color w:val="383838"/>
        </w:rPr>
        <w:t xml:space="preserve">to </w:t>
      </w:r>
      <w:r>
        <w:rPr>
          <w:color w:val="282828"/>
        </w:rPr>
        <w:t xml:space="preserve">provide continuous </w:t>
      </w:r>
      <w:r>
        <w:rPr>
          <w:color w:val="242424"/>
        </w:rPr>
        <w:t>assurance</w:t>
      </w:r>
      <w:r w:rsidR="00A02D09">
        <w:rPr>
          <w:color w:val="242424"/>
        </w:rPr>
        <w:t>.</w:t>
      </w:r>
      <w:r>
        <w:rPr>
          <w:color w:val="262626"/>
        </w:rPr>
        <w:t xml:space="preserve"> </w:t>
      </w:r>
      <w:r w:rsidR="00DE7483">
        <w:rPr>
          <w:color w:val="262626"/>
        </w:rPr>
        <w:t xml:space="preserve"> </w:t>
      </w:r>
      <w:r>
        <w:rPr>
          <w:color w:val="313131"/>
        </w:rPr>
        <w:t xml:space="preserve">Additionally, </w:t>
      </w:r>
      <w:r>
        <w:rPr>
          <w:color w:val="212121"/>
        </w:rPr>
        <w:t xml:space="preserve">the </w:t>
      </w:r>
      <w:r>
        <w:rPr>
          <w:color w:val="1F1F1F"/>
        </w:rPr>
        <w:t xml:space="preserve">evidence </w:t>
      </w:r>
      <w:r>
        <w:rPr>
          <w:color w:val="282828"/>
        </w:rPr>
        <w:t xml:space="preserve">bank </w:t>
      </w:r>
      <w:r>
        <w:rPr>
          <w:color w:val="242424"/>
        </w:rPr>
        <w:t xml:space="preserve">incorporates </w:t>
      </w:r>
      <w:r>
        <w:rPr>
          <w:color w:val="212121"/>
        </w:rPr>
        <w:t xml:space="preserve">relevant </w:t>
      </w:r>
      <w:r>
        <w:rPr>
          <w:color w:val="2F2F2F"/>
        </w:rPr>
        <w:t xml:space="preserve">documents </w:t>
      </w:r>
      <w:r>
        <w:rPr>
          <w:color w:val="1A1A1A"/>
        </w:rPr>
        <w:t xml:space="preserve">and </w:t>
      </w:r>
      <w:r>
        <w:rPr>
          <w:color w:val="2F2F2F"/>
        </w:rPr>
        <w:t xml:space="preserve">information </w:t>
      </w:r>
      <w:r>
        <w:rPr>
          <w:color w:val="2A2A2A"/>
        </w:rPr>
        <w:t xml:space="preserve">that </w:t>
      </w:r>
      <w:r>
        <w:rPr>
          <w:color w:val="282828"/>
        </w:rPr>
        <w:t xml:space="preserve">contributes </w:t>
      </w:r>
      <w:r>
        <w:rPr>
          <w:color w:val="3F3F3F"/>
        </w:rPr>
        <w:t xml:space="preserve">to </w:t>
      </w:r>
      <w:r>
        <w:rPr>
          <w:color w:val="313131"/>
        </w:rPr>
        <w:t xml:space="preserve">our </w:t>
      </w:r>
      <w:r>
        <w:rPr>
          <w:color w:val="232323"/>
        </w:rPr>
        <w:t xml:space="preserve">assurance </w:t>
      </w:r>
      <w:r>
        <w:rPr>
          <w:color w:val="2D2D2D"/>
        </w:rPr>
        <w:t xml:space="preserve">and </w:t>
      </w:r>
      <w:r>
        <w:rPr>
          <w:color w:val="262626"/>
        </w:rPr>
        <w:t xml:space="preserve">which </w:t>
      </w:r>
      <w:r>
        <w:rPr>
          <w:color w:val="313131"/>
        </w:rPr>
        <w:t xml:space="preserve">form </w:t>
      </w:r>
      <w:r>
        <w:rPr>
          <w:color w:val="1F1F1F"/>
        </w:rPr>
        <w:t xml:space="preserve">the </w:t>
      </w:r>
      <w:r>
        <w:rPr>
          <w:color w:val="313131"/>
        </w:rPr>
        <w:t xml:space="preserve">structure </w:t>
      </w:r>
      <w:r>
        <w:rPr>
          <w:color w:val="383838"/>
        </w:rPr>
        <w:t xml:space="preserve">of </w:t>
      </w:r>
      <w:r w:rsidR="000D012F">
        <w:rPr>
          <w:color w:val="2B2B2B"/>
        </w:rPr>
        <w:t xml:space="preserve">the Association’s </w:t>
      </w:r>
      <w:r>
        <w:rPr>
          <w:color w:val="2F2F2F"/>
        </w:rPr>
        <w:t xml:space="preserve">business </w:t>
      </w:r>
      <w:r>
        <w:rPr>
          <w:color w:val="2A2A2A"/>
        </w:rPr>
        <w:t xml:space="preserve">and </w:t>
      </w:r>
      <w:r>
        <w:rPr>
          <w:color w:val="313131"/>
        </w:rPr>
        <w:t xml:space="preserve">governance </w:t>
      </w:r>
      <w:r>
        <w:rPr>
          <w:color w:val="242424"/>
        </w:rPr>
        <w:t>activities.</w:t>
      </w:r>
      <w:r w:rsidR="000834B5">
        <w:rPr>
          <w:color w:val="242424"/>
        </w:rPr>
        <w:t xml:space="preserve"> </w:t>
      </w:r>
      <w:r>
        <w:rPr>
          <w:color w:val="262626"/>
        </w:rPr>
        <w:t xml:space="preserve">In </w:t>
      </w:r>
      <w:r>
        <w:rPr>
          <w:color w:val="2A2A2A"/>
        </w:rPr>
        <w:t xml:space="preserve">reviewing </w:t>
      </w:r>
      <w:r>
        <w:rPr>
          <w:color w:val="262626"/>
        </w:rPr>
        <w:t xml:space="preserve">compliance, </w:t>
      </w:r>
      <w:r>
        <w:rPr>
          <w:color w:val="2D2D2D"/>
        </w:rPr>
        <w:t xml:space="preserve">we </w:t>
      </w:r>
      <w:r>
        <w:rPr>
          <w:color w:val="313131"/>
        </w:rPr>
        <w:t xml:space="preserve">have </w:t>
      </w:r>
      <w:r>
        <w:rPr>
          <w:color w:val="2D2D2D"/>
        </w:rPr>
        <w:t xml:space="preserve">adopted </w:t>
      </w:r>
      <w:r>
        <w:rPr>
          <w:color w:val="3A3A3A"/>
        </w:rPr>
        <w:t xml:space="preserve">an </w:t>
      </w:r>
      <w:r>
        <w:rPr>
          <w:color w:val="2D2D2D"/>
        </w:rPr>
        <w:t xml:space="preserve">improvement </w:t>
      </w:r>
      <w:r>
        <w:rPr>
          <w:color w:val="383838"/>
        </w:rPr>
        <w:t xml:space="preserve">focus </w:t>
      </w:r>
      <w:r>
        <w:rPr>
          <w:color w:val="2D2D2D"/>
        </w:rPr>
        <w:t xml:space="preserve">and </w:t>
      </w:r>
      <w:r>
        <w:rPr>
          <w:color w:val="282828"/>
        </w:rPr>
        <w:t xml:space="preserve">have </w:t>
      </w:r>
      <w:r>
        <w:rPr>
          <w:color w:val="2A2A2A"/>
        </w:rPr>
        <w:t xml:space="preserve">also </w:t>
      </w:r>
      <w:r>
        <w:rPr>
          <w:color w:val="242424"/>
        </w:rPr>
        <w:t xml:space="preserve">identified </w:t>
      </w:r>
      <w:r>
        <w:rPr>
          <w:color w:val="2A2A2A"/>
        </w:rPr>
        <w:t xml:space="preserve">improvement </w:t>
      </w:r>
      <w:r>
        <w:rPr>
          <w:color w:val="2F2F2F"/>
        </w:rPr>
        <w:t xml:space="preserve">actions </w:t>
      </w:r>
      <w:r>
        <w:rPr>
          <w:color w:val="2A2A2A"/>
        </w:rPr>
        <w:t xml:space="preserve">which </w:t>
      </w:r>
      <w:r>
        <w:rPr>
          <w:color w:val="383838"/>
        </w:rPr>
        <w:t xml:space="preserve">we </w:t>
      </w:r>
      <w:r>
        <w:rPr>
          <w:color w:val="363636"/>
        </w:rPr>
        <w:t xml:space="preserve">will </w:t>
      </w:r>
      <w:r>
        <w:rPr>
          <w:color w:val="2B2B2B"/>
        </w:rPr>
        <w:t xml:space="preserve">progress </w:t>
      </w:r>
      <w:r>
        <w:rPr>
          <w:color w:val="262626"/>
        </w:rPr>
        <w:t xml:space="preserve">during </w:t>
      </w:r>
      <w:r>
        <w:rPr>
          <w:color w:val="363636"/>
        </w:rPr>
        <w:t xml:space="preserve">the </w:t>
      </w:r>
      <w:r>
        <w:rPr>
          <w:color w:val="2A2A2A"/>
        </w:rPr>
        <w:t xml:space="preserve">course </w:t>
      </w:r>
      <w:r>
        <w:rPr>
          <w:color w:val="2F2F2F"/>
        </w:rPr>
        <w:t xml:space="preserve">of </w:t>
      </w:r>
      <w:r>
        <w:rPr>
          <w:color w:val="2A2A2A"/>
        </w:rPr>
        <w:t xml:space="preserve">the </w:t>
      </w:r>
      <w:r>
        <w:rPr>
          <w:color w:val="2F2F2F"/>
        </w:rPr>
        <w:t xml:space="preserve">year. </w:t>
      </w:r>
    </w:p>
    <w:p w14:paraId="52C7633A" w14:textId="77777777" w:rsidR="00DE7483" w:rsidRDefault="00DE7483" w:rsidP="00DE7483">
      <w:pPr>
        <w:pStyle w:val="BodyText"/>
        <w:spacing w:line="264" w:lineRule="auto"/>
        <w:ind w:left="118" w:hanging="11"/>
        <w:rPr>
          <w:color w:val="181818"/>
        </w:rPr>
      </w:pPr>
    </w:p>
    <w:p w14:paraId="4340795A" w14:textId="5CD9BC7A" w:rsidR="0045623A" w:rsidRDefault="005B1BCF" w:rsidP="00DE7483">
      <w:pPr>
        <w:pStyle w:val="BodyText"/>
        <w:spacing w:line="264" w:lineRule="auto"/>
        <w:ind w:left="107" w:firstLine="7"/>
        <w:rPr>
          <w:color w:val="262626"/>
        </w:rPr>
      </w:pPr>
      <w:r>
        <w:rPr>
          <w:color w:val="2F2F2F"/>
        </w:rPr>
        <w:t>We approved this Annual Assurance Statement at our Board meeting on 2</w:t>
      </w:r>
      <w:r w:rsidR="00952A9A">
        <w:rPr>
          <w:color w:val="2F2F2F"/>
        </w:rPr>
        <w:t>7</w:t>
      </w:r>
      <w:r w:rsidRPr="005B1BCF">
        <w:rPr>
          <w:color w:val="2F2F2F"/>
          <w:vertAlign w:val="superscript"/>
        </w:rPr>
        <w:t>th</w:t>
      </w:r>
      <w:r>
        <w:rPr>
          <w:color w:val="2F2F2F"/>
        </w:rPr>
        <w:t xml:space="preserve"> October </w:t>
      </w:r>
      <w:r w:rsidR="00276207">
        <w:rPr>
          <w:color w:val="2F2F2F"/>
        </w:rPr>
        <w:t>2022 and</w:t>
      </w:r>
      <w:r>
        <w:rPr>
          <w:color w:val="2F2F2F"/>
        </w:rPr>
        <w:t xml:space="preserve"> the Board have </w:t>
      </w:r>
      <w:r w:rsidR="00B956DE">
        <w:rPr>
          <w:color w:val="2B2B2B"/>
        </w:rPr>
        <w:t xml:space="preserve">authorised </w:t>
      </w:r>
      <w:r>
        <w:rPr>
          <w:i/>
          <w:color w:val="282828"/>
        </w:rPr>
        <w:t xml:space="preserve">me as Chair to </w:t>
      </w:r>
      <w:r w:rsidR="00B956DE">
        <w:rPr>
          <w:color w:val="2D2D2D"/>
        </w:rPr>
        <w:t xml:space="preserve">sign </w:t>
      </w:r>
      <w:r>
        <w:rPr>
          <w:color w:val="2D2D2D"/>
        </w:rPr>
        <w:t xml:space="preserve">the statement on their behalf </w:t>
      </w:r>
      <w:r w:rsidR="00B956DE">
        <w:rPr>
          <w:color w:val="2D2D2D"/>
        </w:rPr>
        <w:t xml:space="preserve">and </w:t>
      </w:r>
      <w:r>
        <w:rPr>
          <w:color w:val="2D2D2D"/>
        </w:rPr>
        <w:t xml:space="preserve">to </w:t>
      </w:r>
      <w:r w:rsidR="00B956DE">
        <w:rPr>
          <w:color w:val="2D2D2D"/>
        </w:rPr>
        <w:t xml:space="preserve">submit </w:t>
      </w:r>
      <w:r w:rsidR="00B956DE">
        <w:rPr>
          <w:color w:val="181818"/>
        </w:rPr>
        <w:t xml:space="preserve">the </w:t>
      </w:r>
      <w:r w:rsidR="00B956DE">
        <w:rPr>
          <w:color w:val="313131"/>
        </w:rPr>
        <w:t xml:space="preserve">Assurance </w:t>
      </w:r>
      <w:r w:rsidR="00B956DE">
        <w:rPr>
          <w:color w:val="282828"/>
        </w:rPr>
        <w:t xml:space="preserve">Statement </w:t>
      </w:r>
      <w:r w:rsidR="00B956DE">
        <w:rPr>
          <w:color w:val="232323"/>
        </w:rPr>
        <w:t xml:space="preserve">to </w:t>
      </w:r>
      <w:r w:rsidR="00B956DE">
        <w:rPr>
          <w:color w:val="313131"/>
        </w:rPr>
        <w:t xml:space="preserve">the </w:t>
      </w:r>
      <w:r w:rsidR="00B956DE">
        <w:rPr>
          <w:color w:val="262626"/>
        </w:rPr>
        <w:t xml:space="preserve">Scottish </w:t>
      </w:r>
      <w:r w:rsidR="00B956DE">
        <w:rPr>
          <w:color w:val="313131"/>
        </w:rPr>
        <w:t xml:space="preserve">Housing </w:t>
      </w:r>
      <w:r w:rsidR="00B956DE">
        <w:rPr>
          <w:color w:val="262626"/>
        </w:rPr>
        <w:t>Regulator.</w:t>
      </w:r>
    </w:p>
    <w:p w14:paraId="2B215218" w14:textId="77777777" w:rsidR="00DE7483" w:rsidRDefault="00DE7483" w:rsidP="00DE7483">
      <w:pPr>
        <w:pStyle w:val="BodyText"/>
        <w:spacing w:line="264" w:lineRule="auto"/>
        <w:ind w:left="107" w:firstLine="7"/>
        <w:rPr>
          <w:color w:val="262626"/>
        </w:rPr>
      </w:pPr>
    </w:p>
    <w:p w14:paraId="43A8FAAD" w14:textId="6EC5EC64" w:rsidR="003D362A" w:rsidRDefault="0000442F" w:rsidP="00DE7483">
      <w:pPr>
        <w:pStyle w:val="BodyText"/>
        <w:spacing w:line="264" w:lineRule="auto"/>
        <w:ind w:left="118" w:hanging="11"/>
        <w:rPr>
          <w:color w:val="262626"/>
        </w:rPr>
      </w:pPr>
      <w:r>
        <w:rPr>
          <w:color w:val="262626"/>
        </w:rPr>
        <w:t>We confirm this Assurance Statement is being published on our website on the same date it is submitted to the Scottish Housing Regulator.</w:t>
      </w:r>
    </w:p>
    <w:p w14:paraId="3A0ABBC1" w14:textId="77777777" w:rsidR="00A51ED8" w:rsidRDefault="00A51ED8" w:rsidP="00DE7483">
      <w:pPr>
        <w:pStyle w:val="BodyText"/>
        <w:spacing w:line="264" w:lineRule="auto"/>
        <w:ind w:left="118" w:hanging="11"/>
        <w:rPr>
          <w:color w:val="262626"/>
        </w:rPr>
      </w:pPr>
    </w:p>
    <w:p w14:paraId="1F1352CB" w14:textId="77777777" w:rsidR="003D362A" w:rsidRDefault="003D362A" w:rsidP="00DE7483">
      <w:pPr>
        <w:pStyle w:val="BodyText"/>
        <w:spacing w:line="264" w:lineRule="auto"/>
        <w:ind w:left="118" w:hanging="11"/>
        <w:rPr>
          <w:color w:val="262626"/>
        </w:rPr>
      </w:pPr>
    </w:p>
    <w:p w14:paraId="0E36474E" w14:textId="2971B944" w:rsidR="003D362A" w:rsidRDefault="003D362A" w:rsidP="001C4C50">
      <w:pPr>
        <w:pStyle w:val="BodyText"/>
        <w:tabs>
          <w:tab w:val="left" w:pos="5103"/>
        </w:tabs>
        <w:spacing w:line="264" w:lineRule="auto"/>
        <w:ind w:left="118" w:hanging="11"/>
        <w:rPr>
          <w:color w:val="262626"/>
        </w:rPr>
      </w:pPr>
      <w:r>
        <w:rPr>
          <w:color w:val="262626"/>
        </w:rPr>
        <w:t>Signed:</w:t>
      </w:r>
      <w:r>
        <w:rPr>
          <w:color w:val="262626"/>
        </w:rPr>
        <w:tab/>
        <w:t>(</w:t>
      </w:r>
      <w:r w:rsidR="00276207">
        <w:rPr>
          <w:color w:val="262626"/>
        </w:rPr>
        <w:t>E. Doherty</w:t>
      </w:r>
      <w:r>
        <w:rPr>
          <w:color w:val="262626"/>
        </w:rPr>
        <w:t>, Chairperson)</w:t>
      </w:r>
    </w:p>
    <w:p w14:paraId="31DF32CD" w14:textId="69831A93" w:rsidR="00DE7483" w:rsidRPr="001C4C50" w:rsidRDefault="001C4C50" w:rsidP="001C4C50">
      <w:pPr>
        <w:pStyle w:val="BodyText"/>
        <w:spacing w:line="264" w:lineRule="auto"/>
        <w:ind w:left="118" w:hanging="11"/>
        <w:rPr>
          <w:color w:val="262626"/>
        </w:rPr>
        <w:sectPr w:rsidR="00DE7483" w:rsidRPr="001C4C50" w:rsidSect="00DE7483">
          <w:type w:val="continuous"/>
          <w:pgSz w:w="11900" w:h="16840"/>
          <w:pgMar w:top="1420" w:right="1268" w:bottom="993" w:left="1240" w:header="720" w:footer="720" w:gutter="0"/>
          <w:cols w:space="720"/>
        </w:sectPr>
      </w:pPr>
      <w:r>
        <w:rPr>
          <w:color w:val="262626"/>
        </w:rPr>
        <w:t>Date:</w:t>
      </w:r>
    </w:p>
    <w:p w14:paraId="2E76899C" w14:textId="411D4CB1" w:rsidR="00BB29C4" w:rsidRDefault="00BB29C4" w:rsidP="001C4C50">
      <w:pPr>
        <w:pStyle w:val="BodyText"/>
        <w:spacing w:before="143" w:line="410" w:lineRule="auto"/>
        <w:ind w:right="33"/>
      </w:pPr>
    </w:p>
    <w:sectPr w:rsidR="00BB29C4">
      <w:type w:val="continuous"/>
      <w:pgSz w:w="11900" w:h="16840"/>
      <w:pgMar w:top="1420" w:right="1680" w:bottom="280" w:left="1240" w:header="720" w:footer="720" w:gutter="0"/>
      <w:cols w:num="2" w:space="720" w:equalWidth="0">
        <w:col w:w="919" w:space="5033"/>
        <w:col w:w="3028"/>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360A0"/>
    <w:multiLevelType w:val="hybridMultilevel"/>
    <w:tmpl w:val="27F8D824"/>
    <w:lvl w:ilvl="0" w:tplc="662C0F56">
      <w:numFmt w:val="bullet"/>
      <w:lvlText w:val="-"/>
      <w:lvlJc w:val="left"/>
      <w:pPr>
        <w:ind w:left="801" w:hanging="339"/>
      </w:pPr>
      <w:rPr>
        <w:rFonts w:hint="default"/>
        <w:w w:val="101"/>
        <w:lang w:val="en-US" w:eastAsia="en-US" w:bidi="en-US"/>
      </w:rPr>
    </w:lvl>
    <w:lvl w:ilvl="1" w:tplc="92FE9806">
      <w:numFmt w:val="bullet"/>
      <w:lvlText w:val="•"/>
      <w:lvlJc w:val="left"/>
      <w:pPr>
        <w:ind w:left="1618" w:hanging="339"/>
      </w:pPr>
      <w:rPr>
        <w:rFonts w:hint="default"/>
        <w:lang w:val="en-US" w:eastAsia="en-US" w:bidi="en-US"/>
      </w:rPr>
    </w:lvl>
    <w:lvl w:ilvl="2" w:tplc="91F60362">
      <w:numFmt w:val="bullet"/>
      <w:lvlText w:val="•"/>
      <w:lvlJc w:val="left"/>
      <w:pPr>
        <w:ind w:left="2436" w:hanging="339"/>
      </w:pPr>
      <w:rPr>
        <w:rFonts w:hint="default"/>
        <w:lang w:val="en-US" w:eastAsia="en-US" w:bidi="en-US"/>
      </w:rPr>
    </w:lvl>
    <w:lvl w:ilvl="3" w:tplc="3634D258">
      <w:numFmt w:val="bullet"/>
      <w:lvlText w:val="•"/>
      <w:lvlJc w:val="left"/>
      <w:pPr>
        <w:ind w:left="3254" w:hanging="339"/>
      </w:pPr>
      <w:rPr>
        <w:rFonts w:hint="default"/>
        <w:lang w:val="en-US" w:eastAsia="en-US" w:bidi="en-US"/>
      </w:rPr>
    </w:lvl>
    <w:lvl w:ilvl="4" w:tplc="1082BFEE">
      <w:numFmt w:val="bullet"/>
      <w:lvlText w:val="•"/>
      <w:lvlJc w:val="left"/>
      <w:pPr>
        <w:ind w:left="4072" w:hanging="339"/>
      </w:pPr>
      <w:rPr>
        <w:rFonts w:hint="default"/>
        <w:lang w:val="en-US" w:eastAsia="en-US" w:bidi="en-US"/>
      </w:rPr>
    </w:lvl>
    <w:lvl w:ilvl="5" w:tplc="91B06F86">
      <w:numFmt w:val="bullet"/>
      <w:lvlText w:val="•"/>
      <w:lvlJc w:val="left"/>
      <w:pPr>
        <w:ind w:left="4890" w:hanging="339"/>
      </w:pPr>
      <w:rPr>
        <w:rFonts w:hint="default"/>
        <w:lang w:val="en-US" w:eastAsia="en-US" w:bidi="en-US"/>
      </w:rPr>
    </w:lvl>
    <w:lvl w:ilvl="6" w:tplc="E3827CDC">
      <w:numFmt w:val="bullet"/>
      <w:lvlText w:val="•"/>
      <w:lvlJc w:val="left"/>
      <w:pPr>
        <w:ind w:left="5708" w:hanging="339"/>
      </w:pPr>
      <w:rPr>
        <w:rFonts w:hint="default"/>
        <w:lang w:val="en-US" w:eastAsia="en-US" w:bidi="en-US"/>
      </w:rPr>
    </w:lvl>
    <w:lvl w:ilvl="7" w:tplc="9650F5AA">
      <w:numFmt w:val="bullet"/>
      <w:lvlText w:val="•"/>
      <w:lvlJc w:val="left"/>
      <w:pPr>
        <w:ind w:left="6526" w:hanging="339"/>
      </w:pPr>
      <w:rPr>
        <w:rFonts w:hint="default"/>
        <w:lang w:val="en-US" w:eastAsia="en-US" w:bidi="en-US"/>
      </w:rPr>
    </w:lvl>
    <w:lvl w:ilvl="8" w:tplc="1B6EBF78">
      <w:numFmt w:val="bullet"/>
      <w:lvlText w:val="•"/>
      <w:lvlJc w:val="left"/>
      <w:pPr>
        <w:ind w:left="7344" w:hanging="339"/>
      </w:pPr>
      <w:rPr>
        <w:rFonts w:hint="default"/>
        <w:lang w:val="en-US" w:eastAsia="en-US" w:bidi="en-US"/>
      </w:rPr>
    </w:lvl>
  </w:abstractNum>
  <w:abstractNum w:abstractNumId="1" w15:restartNumberingAfterBreak="0">
    <w:nsid w:val="12CA062D"/>
    <w:multiLevelType w:val="hybridMultilevel"/>
    <w:tmpl w:val="26700B1A"/>
    <w:lvl w:ilvl="0" w:tplc="662C0F56">
      <w:numFmt w:val="bullet"/>
      <w:lvlText w:val="-"/>
      <w:lvlJc w:val="left"/>
      <w:pPr>
        <w:ind w:left="720" w:hanging="360"/>
      </w:pPr>
      <w:rPr>
        <w:rFonts w:hint="default"/>
        <w:w w:val="101"/>
        <w:lang w:val="en-US" w:eastAsia="en-US" w:bidi="en-U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DA137F"/>
    <w:multiLevelType w:val="hybridMultilevel"/>
    <w:tmpl w:val="1FE296C0"/>
    <w:lvl w:ilvl="0" w:tplc="662C0F56">
      <w:numFmt w:val="bullet"/>
      <w:lvlText w:val="-"/>
      <w:lvlJc w:val="left"/>
      <w:pPr>
        <w:ind w:left="859" w:hanging="360"/>
      </w:pPr>
      <w:rPr>
        <w:rFonts w:hint="default"/>
        <w:w w:val="101"/>
        <w:lang w:val="en-US" w:eastAsia="en-US" w:bidi="en-US"/>
      </w:rPr>
    </w:lvl>
    <w:lvl w:ilvl="1" w:tplc="08090003" w:tentative="1">
      <w:start w:val="1"/>
      <w:numFmt w:val="bullet"/>
      <w:lvlText w:val="o"/>
      <w:lvlJc w:val="left"/>
      <w:pPr>
        <w:ind w:left="1579" w:hanging="360"/>
      </w:pPr>
      <w:rPr>
        <w:rFonts w:ascii="Courier New" w:hAnsi="Courier New" w:cs="Courier New" w:hint="default"/>
      </w:rPr>
    </w:lvl>
    <w:lvl w:ilvl="2" w:tplc="08090005" w:tentative="1">
      <w:start w:val="1"/>
      <w:numFmt w:val="bullet"/>
      <w:lvlText w:val=""/>
      <w:lvlJc w:val="left"/>
      <w:pPr>
        <w:ind w:left="2299" w:hanging="360"/>
      </w:pPr>
      <w:rPr>
        <w:rFonts w:ascii="Wingdings" w:hAnsi="Wingdings" w:hint="default"/>
      </w:rPr>
    </w:lvl>
    <w:lvl w:ilvl="3" w:tplc="08090001" w:tentative="1">
      <w:start w:val="1"/>
      <w:numFmt w:val="bullet"/>
      <w:lvlText w:val=""/>
      <w:lvlJc w:val="left"/>
      <w:pPr>
        <w:ind w:left="3019" w:hanging="360"/>
      </w:pPr>
      <w:rPr>
        <w:rFonts w:ascii="Symbol" w:hAnsi="Symbol" w:hint="default"/>
      </w:rPr>
    </w:lvl>
    <w:lvl w:ilvl="4" w:tplc="08090003" w:tentative="1">
      <w:start w:val="1"/>
      <w:numFmt w:val="bullet"/>
      <w:lvlText w:val="o"/>
      <w:lvlJc w:val="left"/>
      <w:pPr>
        <w:ind w:left="3739" w:hanging="360"/>
      </w:pPr>
      <w:rPr>
        <w:rFonts w:ascii="Courier New" w:hAnsi="Courier New" w:cs="Courier New" w:hint="default"/>
      </w:rPr>
    </w:lvl>
    <w:lvl w:ilvl="5" w:tplc="08090005" w:tentative="1">
      <w:start w:val="1"/>
      <w:numFmt w:val="bullet"/>
      <w:lvlText w:val=""/>
      <w:lvlJc w:val="left"/>
      <w:pPr>
        <w:ind w:left="4459" w:hanging="360"/>
      </w:pPr>
      <w:rPr>
        <w:rFonts w:ascii="Wingdings" w:hAnsi="Wingdings" w:hint="default"/>
      </w:rPr>
    </w:lvl>
    <w:lvl w:ilvl="6" w:tplc="08090001" w:tentative="1">
      <w:start w:val="1"/>
      <w:numFmt w:val="bullet"/>
      <w:lvlText w:val=""/>
      <w:lvlJc w:val="left"/>
      <w:pPr>
        <w:ind w:left="5179" w:hanging="360"/>
      </w:pPr>
      <w:rPr>
        <w:rFonts w:ascii="Symbol" w:hAnsi="Symbol" w:hint="default"/>
      </w:rPr>
    </w:lvl>
    <w:lvl w:ilvl="7" w:tplc="08090003" w:tentative="1">
      <w:start w:val="1"/>
      <w:numFmt w:val="bullet"/>
      <w:lvlText w:val="o"/>
      <w:lvlJc w:val="left"/>
      <w:pPr>
        <w:ind w:left="5899" w:hanging="360"/>
      </w:pPr>
      <w:rPr>
        <w:rFonts w:ascii="Courier New" w:hAnsi="Courier New" w:cs="Courier New" w:hint="default"/>
      </w:rPr>
    </w:lvl>
    <w:lvl w:ilvl="8" w:tplc="08090005" w:tentative="1">
      <w:start w:val="1"/>
      <w:numFmt w:val="bullet"/>
      <w:lvlText w:val=""/>
      <w:lvlJc w:val="left"/>
      <w:pPr>
        <w:ind w:left="6619" w:hanging="360"/>
      </w:pPr>
      <w:rPr>
        <w:rFonts w:ascii="Wingdings" w:hAnsi="Wingdings" w:hint="default"/>
      </w:rPr>
    </w:lvl>
  </w:abstractNum>
  <w:abstractNum w:abstractNumId="3" w15:restartNumberingAfterBreak="0">
    <w:nsid w:val="1EA8448F"/>
    <w:multiLevelType w:val="hybridMultilevel"/>
    <w:tmpl w:val="DFF412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E545006"/>
    <w:multiLevelType w:val="hybridMultilevel"/>
    <w:tmpl w:val="9AEE37EA"/>
    <w:lvl w:ilvl="0" w:tplc="662C0F56">
      <w:numFmt w:val="bullet"/>
      <w:lvlText w:val="-"/>
      <w:lvlJc w:val="left"/>
      <w:pPr>
        <w:ind w:left="900" w:hanging="360"/>
      </w:pPr>
      <w:rPr>
        <w:rFonts w:hint="default"/>
        <w:w w:val="101"/>
        <w:lang w:val="en-US" w:eastAsia="en-US" w:bidi="en-US"/>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num w:numId="1" w16cid:durableId="824933386">
    <w:abstractNumId w:val="0"/>
  </w:num>
  <w:num w:numId="2" w16cid:durableId="1285581505">
    <w:abstractNumId w:val="3"/>
  </w:num>
  <w:num w:numId="3" w16cid:durableId="205800538">
    <w:abstractNumId w:val="2"/>
  </w:num>
  <w:num w:numId="4" w16cid:durableId="142164066">
    <w:abstractNumId w:val="4"/>
  </w:num>
  <w:num w:numId="5" w16cid:durableId="13461325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9C4"/>
    <w:rsid w:val="0000442F"/>
    <w:rsid w:val="000834B5"/>
    <w:rsid w:val="000D012F"/>
    <w:rsid w:val="000D3802"/>
    <w:rsid w:val="001C4C50"/>
    <w:rsid w:val="00276207"/>
    <w:rsid w:val="002F13D7"/>
    <w:rsid w:val="00307963"/>
    <w:rsid w:val="00313A26"/>
    <w:rsid w:val="00340377"/>
    <w:rsid w:val="00376A54"/>
    <w:rsid w:val="003C6648"/>
    <w:rsid w:val="003D362A"/>
    <w:rsid w:val="00422CA8"/>
    <w:rsid w:val="0045623A"/>
    <w:rsid w:val="004D14CB"/>
    <w:rsid w:val="004E1AD1"/>
    <w:rsid w:val="004E271C"/>
    <w:rsid w:val="005116C9"/>
    <w:rsid w:val="0059109E"/>
    <w:rsid w:val="00596CDC"/>
    <w:rsid w:val="005B1BCF"/>
    <w:rsid w:val="006941AB"/>
    <w:rsid w:val="006E677A"/>
    <w:rsid w:val="00711226"/>
    <w:rsid w:val="00724AB2"/>
    <w:rsid w:val="007A656D"/>
    <w:rsid w:val="007C6A05"/>
    <w:rsid w:val="008605B0"/>
    <w:rsid w:val="008A690E"/>
    <w:rsid w:val="008C1C0F"/>
    <w:rsid w:val="008E7832"/>
    <w:rsid w:val="00952A9A"/>
    <w:rsid w:val="00A02D09"/>
    <w:rsid w:val="00A06DD8"/>
    <w:rsid w:val="00A51ED8"/>
    <w:rsid w:val="00AE69CE"/>
    <w:rsid w:val="00B020E5"/>
    <w:rsid w:val="00B956DE"/>
    <w:rsid w:val="00BA550E"/>
    <w:rsid w:val="00BB29C4"/>
    <w:rsid w:val="00BF1207"/>
    <w:rsid w:val="00C9537E"/>
    <w:rsid w:val="00CC4A43"/>
    <w:rsid w:val="00CE6A68"/>
    <w:rsid w:val="00D2220A"/>
    <w:rsid w:val="00D4245B"/>
    <w:rsid w:val="00DE7483"/>
    <w:rsid w:val="00E92F0B"/>
    <w:rsid w:val="00FA42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B37BA"/>
  <w15:docId w15:val="{6C185F21-B396-4DD2-ADA2-421CAFF41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04" w:hanging="344"/>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4931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393</Words>
  <Characters>2245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-author</vt:lpstr>
    </vt:vector>
  </TitlesOfParts>
  <Company/>
  <LinksUpToDate>false</LinksUpToDate>
  <CharactersWithSpaces>2633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dc:title>
  <dc:subject>-keywords</dc:subject>
  <dc:creator>Lesley Carnegie</dc:creator>
  <cp:lastModifiedBy>Hollie McGowan</cp:lastModifiedBy>
  <cp:revision>2</cp:revision>
  <cp:lastPrinted>2022-10-25T15:09:00Z</cp:lastPrinted>
  <dcterms:created xsi:type="dcterms:W3CDTF">2022-10-31T09:31:00Z</dcterms:created>
  <dcterms:modified xsi:type="dcterms:W3CDTF">2022-10-31T09:31:00Z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2021-10-18T00:00:00Z</vt:filetime>
  </property>
  <property fmtid="{D5CDD505-2E9C-101B-9397-08002B2CF9AE}" pid="3" name="LastSaved">
    <vt:filetime>2021-10-18T00:00:00Z</vt:filetime>
  </property>
</Properties>
</file>